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1"/>
        <w:rPr>
          <w:rStyle w:val="27"/>
          <w:rFonts w:hint="eastAsia"/>
          <w:color w:val="000000" w:themeColor="text1"/>
          <w:lang w:val="en-US" w:eastAsia="zh-CN"/>
          <w14:textFill>
            <w14:solidFill>
              <w14:schemeClr w14:val="tx1"/>
            </w14:solidFill>
          </w14:textFill>
        </w:rPr>
      </w:pPr>
      <w:bookmarkStart w:id="0" w:name="_Toc510528101"/>
      <w:r>
        <w:rPr>
          <w:rFonts w:hint="eastAsia" w:ascii="宋体" w:hAnsi="宋体" w:eastAsia="仿宋" w:cs="宋体"/>
          <w:b/>
          <w:bCs/>
          <w:color w:val="000000" w:themeColor="text1"/>
          <w:kern w:val="0"/>
          <w:sz w:val="28"/>
          <w:szCs w:val="36"/>
          <w:lang w:val="en-US" w:eastAsia="zh-CN"/>
          <w14:textFill>
            <w14:solidFill>
              <w14:schemeClr w14:val="tx1"/>
            </w14:solidFill>
          </w14:textFill>
        </w:rPr>
        <w:t xml:space="preserve">         </w:t>
      </w:r>
      <w:r>
        <w:rPr>
          <w:rStyle w:val="27"/>
          <w:rFonts w:hint="eastAsia"/>
          <w:color w:val="000000" w:themeColor="text1"/>
          <w:lang w:val="en-US" w:eastAsia="zh-CN"/>
          <w14:textFill>
            <w14:solidFill>
              <w14:schemeClr w14:val="tx1"/>
            </w14:solidFill>
          </w14:textFill>
        </w:rPr>
        <w:t>西华大学外国语学院教学评估测试题</w:t>
      </w:r>
    </w:p>
    <w:p>
      <w:pPr>
        <w:spacing w:line="400" w:lineRule="exact"/>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1、西华大学始建</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于 </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年，时名</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，1972年更名为成都农业机械学院，1983年更名为于四川工业学院。2003年，四川工业学院与成都师范高等专科学校合并组建为西华大学。2008年四川经济管理干部学院并入。</w:t>
      </w:r>
    </w:p>
    <w:p>
      <w:pPr>
        <w:spacing w:line="4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w:t>
      </w:r>
      <w:r>
        <w:rPr>
          <w:rFonts w:hint="eastAsia" w:ascii="仿宋" w:hAnsi="仿宋" w:eastAsia="仿宋" w:cs="Times New Roman"/>
          <w:color w:val="000000" w:themeColor="text1"/>
          <w:sz w:val="24"/>
          <w:szCs w:val="24"/>
          <w14:textFill>
            <w14:solidFill>
              <w14:schemeClr w14:val="tx1"/>
            </w14:solidFill>
          </w14:textFill>
        </w:rPr>
        <w:t>.五位一体的高校评估制度是</w:t>
      </w:r>
      <w:bookmarkEnd w:id="0"/>
      <w:r>
        <w:rPr>
          <w:rFonts w:hint="eastAsia" w:ascii="仿宋" w:hAnsi="仿宋" w:eastAsia="仿宋" w:cs="Times New Roman"/>
          <w:color w:val="000000" w:themeColor="text1"/>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包括</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14:textFill>
            <w14:solidFill>
              <w14:schemeClr w14:val="tx1"/>
            </w14:solidFill>
          </w14:textFill>
        </w:rPr>
        <w:t>、</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）、专业认证与评估、状态数据常态监测、国际评估五种形式。</w:t>
      </w:r>
    </w:p>
    <w:p>
      <w:pPr>
        <w:widowControl/>
        <w:jc w:val="left"/>
        <w:outlineLvl w:val="1"/>
        <w:rPr>
          <w:rFonts w:hint="eastAsia" w:ascii="仿宋" w:hAnsi="仿宋" w:eastAsia="仿宋" w:cs="Times New Roman"/>
          <w:color w:val="000000" w:themeColor="text1"/>
          <w:sz w:val="24"/>
          <w:szCs w:val="24"/>
          <w14:textFill>
            <w14:solidFill>
              <w14:schemeClr w14:val="tx1"/>
            </w14:solidFill>
          </w14:textFill>
        </w:rPr>
      </w:pPr>
      <w:bookmarkStart w:id="1" w:name="_Toc510528102"/>
      <w:r>
        <w:rPr>
          <w:rFonts w:hint="eastAsia" w:ascii="仿宋" w:hAnsi="仿宋" w:eastAsia="仿宋" w:cs="Times New Roman"/>
          <w:color w:val="000000" w:themeColor="text1"/>
          <w:sz w:val="24"/>
          <w:szCs w:val="24"/>
          <w:lang w:val="en-US" w:eastAsia="zh-CN"/>
          <w14:textFill>
            <w14:solidFill>
              <w14:schemeClr w14:val="tx1"/>
            </w14:solidFill>
          </w14:textFill>
        </w:rPr>
        <w:t>3</w:t>
      </w:r>
      <w:r>
        <w:rPr>
          <w:rFonts w:hint="eastAsia" w:ascii="仿宋" w:hAnsi="仿宋" w:eastAsia="仿宋" w:cs="Times New Roman"/>
          <w:color w:val="000000" w:themeColor="text1"/>
          <w:sz w:val="24"/>
          <w:szCs w:val="24"/>
          <w14:textFill>
            <w14:solidFill>
              <w14:schemeClr w14:val="tx1"/>
            </w14:solidFill>
          </w14:textFill>
        </w:rPr>
        <w:t>.</w:t>
      </w:r>
      <w:bookmarkEnd w:id="1"/>
      <w:r>
        <w:rPr>
          <w:rFonts w:hint="eastAsia" w:ascii="仿宋" w:hAnsi="仿宋" w:eastAsia="仿宋" w:cs="Times New Roman"/>
          <w:color w:val="000000" w:themeColor="text1"/>
          <w:sz w:val="24"/>
          <w:szCs w:val="24"/>
          <w14:textFill>
            <w14:solidFill>
              <w14:schemeClr w14:val="tx1"/>
            </w14:solidFill>
          </w14:textFill>
        </w:rPr>
        <w:t>学校接受的是本科教学工作审核评估。属于五位一体中的</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p>
    <w:p>
      <w:pPr>
        <w:spacing w:line="400" w:lineRule="exact"/>
        <w:jc w:val="left"/>
        <w:rPr>
          <w:rFonts w:hint="eastAsia" w:ascii="仿宋" w:hAnsi="仿宋" w:eastAsia="仿宋" w:cs="Times New Roman"/>
          <w:color w:val="000000" w:themeColor="text1"/>
          <w:sz w:val="24"/>
          <w:szCs w:val="24"/>
          <w:u w:val="none"/>
          <w:lang w:val="en-US" w:eastAsia="zh-CN"/>
          <w14:textFill>
            <w14:solidFill>
              <w14:schemeClr w14:val="tx1"/>
            </w14:solidFill>
          </w14:textFill>
        </w:rPr>
      </w:pPr>
      <w:bookmarkStart w:id="2" w:name="_Toc509937427"/>
      <w:bookmarkStart w:id="3" w:name="_Toc510528116"/>
      <w:r>
        <w:rPr>
          <w:rFonts w:hint="eastAsia" w:ascii="仿宋" w:hAnsi="仿宋" w:eastAsia="仿宋" w:cs="Times New Roman"/>
          <w:color w:val="000000" w:themeColor="text1"/>
          <w:sz w:val="24"/>
          <w:szCs w:val="24"/>
          <w:lang w:val="en-US" w:eastAsia="zh-CN"/>
          <w14:textFill>
            <w14:solidFill>
              <w14:schemeClr w14:val="tx1"/>
            </w14:solidFill>
          </w14:textFill>
        </w:rPr>
        <w:t>4</w:t>
      </w:r>
      <w:r>
        <w:rPr>
          <w:rFonts w:hint="eastAsia" w:ascii="仿宋" w:hAnsi="仿宋" w:eastAsia="仿宋" w:cs="Times New Roman"/>
          <w:color w:val="000000" w:themeColor="text1"/>
          <w:sz w:val="24"/>
          <w:szCs w:val="24"/>
          <w14:textFill>
            <w14:solidFill>
              <w14:schemeClr w14:val="tx1"/>
            </w14:solidFill>
          </w14:textFill>
        </w:rPr>
        <w:t>.学校</w:t>
      </w:r>
      <w:bookmarkEnd w:id="2"/>
      <w:bookmarkEnd w:id="3"/>
      <w:r>
        <w:rPr>
          <w:rFonts w:hint="eastAsia" w:ascii="仿宋" w:hAnsi="仿宋" w:eastAsia="仿宋" w:cs="Times New Roman"/>
          <w:color w:val="000000" w:themeColor="text1"/>
          <w:sz w:val="24"/>
          <w:szCs w:val="24"/>
          <w14:textFill>
            <w14:solidFill>
              <w14:schemeClr w14:val="tx1"/>
            </w14:solidFill>
          </w14:textFill>
        </w:rPr>
        <w:t>校训：</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none"/>
          <w:lang w:val="en-US" w:eastAsia="zh-CN"/>
          <w14:textFill>
            <w14:solidFill>
              <w14:schemeClr w14:val="tx1"/>
            </w14:solidFill>
          </w14:textFill>
        </w:rPr>
        <w:t xml:space="preserve"> </w:t>
      </w:r>
    </w:p>
    <w:p>
      <w:pPr>
        <w:spacing w:line="400" w:lineRule="exact"/>
        <w:jc w:val="left"/>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5．评估时间：评估专家组一行</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eastAsia="zh-CN"/>
          <w14:textFill>
            <w14:solidFill>
              <w14:schemeClr w14:val="tx1"/>
            </w14:solidFill>
          </w14:textFill>
        </w:rPr>
        <w:t>人将于2018年</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eastAsia="zh-CN"/>
          <w14:textFill>
            <w14:solidFill>
              <w14:schemeClr w14:val="tx1"/>
            </w14:solidFill>
          </w14:textFill>
        </w:rPr>
        <w:t>月</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eastAsia="zh-CN"/>
          <w14:textFill>
            <w14:solidFill>
              <w14:schemeClr w14:val="tx1"/>
            </w14:solidFill>
          </w14:textFill>
        </w:rPr>
        <w:t>日进驻我校，4月</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eastAsia="zh-CN"/>
          <w14:textFill>
            <w14:solidFill>
              <w14:schemeClr w14:val="tx1"/>
            </w14:solidFill>
          </w14:textFill>
        </w:rPr>
        <w:t>至4月</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eastAsia="zh-CN"/>
          <w14:textFill>
            <w14:solidFill>
              <w14:schemeClr w14:val="tx1"/>
            </w14:solidFill>
          </w14:textFill>
        </w:rPr>
        <w:t>日对我校本科教学工作进行实地考察评估。</w:t>
      </w:r>
    </w:p>
    <w:p>
      <w:pPr>
        <w:spacing w:line="400" w:lineRule="exact"/>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6.西华大学精神：</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p>
    <w:p>
      <w:pPr>
        <w:widowControl/>
        <w:jc w:val="left"/>
        <w:outlineLvl w:val="1"/>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7.</w:t>
      </w:r>
      <w:r>
        <w:rPr>
          <w:rFonts w:hint="eastAsia" w:ascii="仿宋" w:hAnsi="仿宋" w:eastAsia="仿宋" w:cs="Times New Roman"/>
          <w:color w:val="000000" w:themeColor="text1"/>
          <w:sz w:val="24"/>
          <w:szCs w:val="24"/>
          <w14:textFill>
            <w14:solidFill>
              <w14:schemeClr w14:val="tx1"/>
            </w14:solidFill>
          </w14:textFill>
        </w:rPr>
        <w:t>审核评估对象包括两部分高校：一是参加2003-2008 年普通高等学校本科教学工作水平评估获得</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及以上结论的高校；二是参加普通高等学校本科教学工作合格评估获得</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结论的新建本科院校，</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年后须参加审核评估。（我校2007年曾接受教育部本科教学工作水平评估，评估结论是优秀）</w:t>
      </w:r>
    </w:p>
    <w:p>
      <w:pPr>
        <w:widowControl/>
        <w:jc w:val="left"/>
        <w:outlineLvl w:val="1"/>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8.</w:t>
      </w:r>
      <w:r>
        <w:rPr>
          <w:rFonts w:hint="eastAsia" w:ascii="仿宋" w:hAnsi="仿宋" w:eastAsia="仿宋" w:cs="Times New Roman"/>
          <w:color w:val="000000" w:themeColor="text1"/>
          <w:sz w:val="24"/>
          <w:szCs w:val="24"/>
          <w14:textFill>
            <w14:solidFill>
              <w14:schemeClr w14:val="tx1"/>
            </w14:solidFill>
          </w14:textFill>
        </w:rPr>
        <w:t>学校发展目标定位：</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p>
    <w:p>
      <w:pPr>
        <w:widowControl/>
        <w:jc w:val="left"/>
        <w:outlineLvl w:val="1"/>
        <w:rPr>
          <w:rFonts w:hint="eastAsia" w:ascii="仿宋" w:hAnsi="仿宋" w:eastAsia="仿宋" w:cs="Calibri"/>
          <w:color w:val="000000" w:themeColor="text1"/>
          <w:sz w:val="24"/>
          <w:szCs w:val="24"/>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9.</w:t>
      </w:r>
      <w:r>
        <w:rPr>
          <w:rFonts w:hint="eastAsia" w:ascii="仿宋" w:hAnsi="仿宋" w:eastAsia="仿宋" w:cs="Calibri"/>
          <w:color w:val="000000" w:themeColor="text1"/>
          <w:sz w:val="24"/>
          <w:szCs w:val="24"/>
          <w14:textFill>
            <w14:solidFill>
              <w14:schemeClr w14:val="tx1"/>
            </w14:solidFill>
          </w14:textFill>
        </w:rPr>
        <w:t>审核评估的核心是“</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”，目的是“</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”，即是要促进高等学校坚持内涵式发展，引导学校建立</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，加强质量保障体系建设，强化自我改进，不断提升办学水平和教育质量。</w:t>
      </w:r>
    </w:p>
    <w:p>
      <w:pPr>
        <w:widowControl/>
        <w:jc w:val="left"/>
        <w:outlineLvl w:val="1"/>
        <w:rPr>
          <w:rFonts w:hint="eastAsia" w:ascii="仿宋" w:hAnsi="仿宋" w:eastAsia="仿宋" w:cs="Calibri"/>
          <w:color w:val="000000" w:themeColor="text1"/>
          <w:sz w:val="24"/>
          <w:szCs w:val="24"/>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10.</w:t>
      </w:r>
      <w:r>
        <w:rPr>
          <w:rFonts w:hint="eastAsia" w:ascii="仿宋" w:hAnsi="仿宋" w:eastAsia="仿宋" w:cs="Calibri"/>
          <w:color w:val="000000" w:themeColor="text1"/>
          <w:sz w:val="24"/>
          <w:szCs w:val="24"/>
          <w14:textFill>
            <w14:solidFill>
              <w14:schemeClr w14:val="tx1"/>
            </w14:solidFill>
          </w14:textFill>
        </w:rPr>
        <w:t>学校现有</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个学院</w:t>
      </w:r>
      <w:r>
        <w:rPr>
          <w:rFonts w:hint="eastAsia" w:ascii="仿宋" w:hAnsi="仿宋" w:eastAsia="仿宋" w:cs="Calibri"/>
          <w:color w:val="000000" w:themeColor="text1"/>
          <w:sz w:val="24"/>
          <w:szCs w:val="24"/>
          <w:u w:val="single"/>
          <w14:textFill>
            <w14:solidFill>
              <w14:schemeClr w14:val="tx1"/>
            </w14:solidFill>
          </w14:textFill>
        </w:rPr>
        <w:t>，</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个学科门类的</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个本科专业，有</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三个校区。</w:t>
      </w:r>
    </w:p>
    <w:p>
      <w:pPr>
        <w:widowControl/>
        <w:jc w:val="left"/>
        <w:outlineLvl w:val="1"/>
        <w:rPr>
          <w:rFonts w:hint="eastAsia" w:ascii="仿宋" w:hAnsi="仿宋" w:eastAsia="仿宋" w:cs="Times New Roman"/>
          <w:color w:val="000000" w:themeColor="text1"/>
          <w:sz w:val="24"/>
          <w:szCs w:val="24"/>
          <w:u w:val="single"/>
          <w14:textFill>
            <w14:solidFill>
              <w14:schemeClr w14:val="tx1"/>
            </w14:solidFill>
          </w14:textFill>
        </w:rPr>
      </w:pPr>
      <w:bookmarkStart w:id="4" w:name="_Toc510528105"/>
      <w:bookmarkStart w:id="5" w:name="_Toc509937415"/>
      <w:r>
        <w:rPr>
          <w:rFonts w:hint="eastAsia" w:ascii="仿宋" w:hAnsi="仿宋" w:eastAsia="仿宋" w:cs="Calibri"/>
          <w:color w:val="000000" w:themeColor="text1"/>
          <w:sz w:val="24"/>
          <w:szCs w:val="24"/>
          <w:lang w:val="en-US" w:eastAsia="zh-CN"/>
          <w14:textFill>
            <w14:solidFill>
              <w14:schemeClr w14:val="tx1"/>
            </w14:solidFill>
          </w14:textFill>
        </w:rPr>
        <w:t>11.</w:t>
      </w:r>
      <w:r>
        <w:rPr>
          <w:rFonts w:hint="eastAsia" w:ascii="仿宋" w:hAnsi="仿宋" w:eastAsia="仿宋" w:cs="Calibri"/>
          <w:color w:val="000000" w:themeColor="text1"/>
          <w:sz w:val="24"/>
          <w:szCs w:val="24"/>
          <w14:textFill>
            <w14:solidFill>
              <w14:schemeClr w14:val="tx1"/>
            </w14:solidFill>
          </w14:textFill>
        </w:rPr>
        <w:t>本科教学工作审核评估的二十字方针是</w:t>
      </w:r>
      <w:bookmarkEnd w:id="4"/>
      <w:r>
        <w:rPr>
          <w:rFonts w:hint="eastAsia" w:ascii="仿宋" w:hAnsi="仿宋" w:eastAsia="仿宋" w:cs="Calibri"/>
          <w:color w:val="000000" w:themeColor="text1"/>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14:textFill>
            <w14:solidFill>
              <w14:schemeClr w14:val="tx1"/>
            </w14:solidFill>
          </w14:textFill>
        </w:rPr>
        <w:t>。</w:t>
      </w:r>
    </w:p>
    <w:p>
      <w:pPr>
        <w:spacing w:line="400" w:lineRule="exact"/>
        <w:jc w:val="left"/>
        <w:rPr>
          <w:rFonts w:ascii="仿宋" w:hAnsi="仿宋" w:eastAsia="宋体" w:cs="Times New Roman"/>
          <w:b/>
          <w:bCs/>
          <w:color w:val="000000" w:themeColor="text1"/>
          <w:sz w:val="24"/>
          <w:szCs w:val="24"/>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12.</w:t>
      </w:r>
      <w:r>
        <w:rPr>
          <w:rFonts w:hint="eastAsia" w:ascii="仿宋" w:hAnsi="仿宋" w:eastAsia="仿宋" w:cs="Times New Roman"/>
          <w:color w:val="000000" w:themeColor="text1"/>
          <w:sz w:val="24"/>
          <w:szCs w:val="24"/>
          <w14:textFill>
            <w14:solidFill>
              <w14:schemeClr w14:val="tx1"/>
            </w14:solidFill>
          </w14:textFill>
        </w:rPr>
        <w:t>学校党委书记：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；校长、党委副书记：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党委副书记：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；党委副书记、纪委书记：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；副校长：</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；副校长：</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首席科学家：</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ascii="仿宋" w:hAnsi="仿宋" w:eastAsia="仿宋" w:cs="Times New Roman"/>
          <w:color w:val="000000" w:themeColor="text1"/>
          <w:sz w:val="24"/>
          <w:szCs w:val="24"/>
          <w14:textFill>
            <w14:solidFill>
              <w14:schemeClr w14:val="tx1"/>
            </w14:solidFill>
          </w14:textFill>
        </w:rPr>
        <w:t>。</w:t>
      </w:r>
    </w:p>
    <w:p>
      <w:pPr>
        <w:spacing w:line="400" w:lineRule="exact"/>
        <w:jc w:val="left"/>
        <w:rPr>
          <w:rFonts w:hint="eastAsia" w:ascii="仿宋" w:hAnsi="仿宋" w:eastAsia="仿宋" w:cs="Times New Roman"/>
          <w:color w:val="000000" w:themeColor="text1"/>
          <w:sz w:val="24"/>
          <w:szCs w:val="24"/>
          <w:u w:val="single"/>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13.</w:t>
      </w:r>
      <w:r>
        <w:rPr>
          <w:rFonts w:hint="eastAsia" w:ascii="仿宋" w:hAnsi="仿宋" w:eastAsia="仿宋" w:cs="Times New Roman"/>
          <w:color w:val="000000" w:themeColor="text1"/>
          <w:sz w:val="24"/>
          <w:szCs w:val="24"/>
          <w14:textFill>
            <w14:solidFill>
              <w14:schemeClr w14:val="tx1"/>
            </w14:solidFill>
          </w14:textFill>
        </w:rPr>
        <w:t xml:space="preserve"> “以评促管”，就是以评估工作带动学校教学管理的</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u w:val="single"/>
          <w14:textFill>
            <w14:solidFill>
              <w14:schemeClr w14:val="tx1"/>
            </w14:solidFill>
          </w14:textFill>
        </w:rPr>
        <w:t>；</w:t>
      </w:r>
    </w:p>
    <w:p>
      <w:pPr>
        <w:widowControl/>
        <w:jc w:val="left"/>
        <w:outlineLvl w:val="1"/>
        <w:rPr>
          <w:rFonts w:ascii="宋体" w:hAnsi="宋体" w:eastAsia="仿宋" w:cs="宋体"/>
          <w:b/>
          <w:bCs/>
          <w:color w:val="000000" w:themeColor="text1"/>
          <w:kern w:val="0"/>
          <w:sz w:val="28"/>
          <w:szCs w:val="36"/>
          <w14:textFill>
            <w14:solidFill>
              <w14:schemeClr w14:val="tx1"/>
            </w14:solidFill>
          </w14:textFill>
        </w:rPr>
      </w:pPr>
      <w:bookmarkStart w:id="6" w:name="_Toc510528106"/>
      <w:r>
        <w:rPr>
          <w:rFonts w:hint="eastAsia" w:ascii="仿宋" w:hAnsi="仿宋" w:eastAsia="仿宋" w:cs="Times New Roman"/>
          <w:color w:val="000000" w:themeColor="text1"/>
          <w:sz w:val="24"/>
          <w:szCs w:val="24"/>
          <w:lang w:val="en-US" w:eastAsia="zh-CN"/>
          <w14:textFill>
            <w14:solidFill>
              <w14:schemeClr w14:val="tx1"/>
            </w14:solidFill>
          </w14:textFill>
        </w:rPr>
        <w:t>14</w:t>
      </w:r>
      <w:r>
        <w:rPr>
          <w:rFonts w:ascii="宋体" w:hAnsi="宋体" w:eastAsia="仿宋" w:cs="宋体"/>
          <w:b/>
          <w:bCs/>
          <w:color w:val="000000" w:themeColor="text1"/>
          <w:kern w:val="0"/>
          <w:sz w:val="28"/>
          <w:szCs w:val="36"/>
          <w14:textFill>
            <w14:solidFill>
              <w14:schemeClr w14:val="tx1"/>
            </w14:solidFill>
          </w14:textFill>
        </w:rPr>
        <w:t>.</w:t>
      </w:r>
      <w:bookmarkEnd w:id="6"/>
      <w:r>
        <w:rPr>
          <w:rFonts w:hint="eastAsia" w:ascii="宋体" w:hAnsi="宋体" w:eastAsia="仿宋" w:cs="宋体"/>
          <w:b/>
          <w:bCs/>
          <w:color w:val="000000" w:themeColor="text1"/>
          <w:kern w:val="0"/>
          <w:sz w:val="28"/>
          <w:szCs w:val="36"/>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审核评估的指导思想可以概括为“</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”。就是坚持“以评促建，以评促改，以评促管，评建结合，重在建设”这二十字方针基础上，突出</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，突出</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，强化</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，强化</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，强化</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，不断提高人才培养质量。</w:t>
      </w:r>
    </w:p>
    <w:p>
      <w:pPr>
        <w:spacing w:line="4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15</w:t>
      </w:r>
      <w:r>
        <w:rPr>
          <w:rFonts w:hint="eastAsia" w:ascii="仿宋" w:hAnsi="仿宋" w:eastAsia="仿宋" w:cs="Times New Roman"/>
          <w:color w:val="000000" w:themeColor="text1"/>
          <w:sz w:val="24"/>
          <w:szCs w:val="24"/>
          <w14:textFill>
            <w14:solidFill>
              <w14:schemeClr w14:val="tx1"/>
            </w14:solidFill>
          </w14:textFill>
        </w:rPr>
        <w:t>、审核评估坚持以下五项原则：一是</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原则；二是</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原则；三是</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原则；四是</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原则；五是</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原则。</w:t>
      </w:r>
    </w:p>
    <w:p>
      <w:pPr>
        <w:spacing w:line="400" w:lineRule="exact"/>
        <w:jc w:val="left"/>
        <w:rPr>
          <w:rFonts w:hint="eastAsia" w:ascii="仿宋" w:hAnsi="仿宋" w:eastAsia="仿宋" w:cs="Times New Roman"/>
          <w:color w:val="000000" w:themeColor="text1"/>
          <w:sz w:val="28"/>
          <w:szCs w:val="28"/>
          <w:u w:val="single"/>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16.</w:t>
      </w:r>
      <w:r>
        <w:rPr>
          <w:rFonts w:hint="eastAsia" w:ascii="仿宋" w:hAnsi="仿宋" w:eastAsia="仿宋" w:cs="Times New Roman"/>
          <w:color w:val="000000" w:themeColor="text1"/>
          <w:sz w:val="24"/>
          <w:szCs w:val="24"/>
          <w14:textFill>
            <w14:solidFill>
              <w14:schemeClr w14:val="tx1"/>
            </w14:solidFill>
          </w14:textFill>
        </w:rPr>
        <w:t>学校校庆日</w:t>
      </w:r>
      <w:r>
        <w:rPr>
          <w:rFonts w:hint="eastAsia" w:ascii="仿宋" w:hAnsi="仿宋" w:eastAsia="仿宋" w:cs="Times New Roman"/>
          <w:color w:val="000000" w:themeColor="text1"/>
          <w:sz w:val="28"/>
          <w:szCs w:val="28"/>
          <w:u w:val="single"/>
          <w:lang w:val="en-US" w:eastAsia="zh-CN"/>
          <w14:textFill>
            <w14:solidFill>
              <w14:schemeClr w14:val="tx1"/>
            </w14:solidFill>
          </w14:textFill>
        </w:rPr>
        <w:t xml:space="preserve">        </w:t>
      </w:r>
    </w:p>
    <w:p>
      <w:pPr>
        <w:spacing w:line="4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17.</w:t>
      </w:r>
      <w:r>
        <w:rPr>
          <w:rFonts w:hint="eastAsia" w:ascii="仿宋" w:hAnsi="仿宋" w:eastAsia="仿宋" w:cs="Times New Roman"/>
          <w:color w:val="000000" w:themeColor="text1"/>
          <w:sz w:val="24"/>
          <w:szCs w:val="24"/>
          <w14:textFill>
            <w14:solidFill>
              <w14:schemeClr w14:val="tx1"/>
            </w14:solidFill>
          </w14:textFill>
        </w:rPr>
        <w:t>专家进校期间学生到课率应达到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，低年级学生早晚自习率高，杜绝学生</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，严禁出现考试作弊等现象。</w:t>
      </w:r>
    </w:p>
    <w:p>
      <w:pPr>
        <w:spacing w:line="400" w:lineRule="exact"/>
        <w:ind w:firstLine="480" w:firstLineChars="200"/>
        <w:jc w:val="left"/>
        <w:rPr>
          <w:rFonts w:hint="eastAsia" w:ascii="仿宋" w:hAnsi="仿宋" w:eastAsia="仿宋" w:cs="Times New Roman"/>
          <w:color w:val="000000" w:themeColor="text1"/>
          <w:sz w:val="24"/>
          <w:szCs w:val="24"/>
          <w:lang w:val="en-US" w:eastAsia="zh-CN"/>
          <w14:textFill>
            <w14:solidFill>
              <w14:schemeClr w14:val="tx1"/>
            </w14:solidFill>
          </w14:textFill>
        </w:rPr>
      </w:pPr>
    </w:p>
    <w:p>
      <w:pPr>
        <w:spacing w:line="400" w:lineRule="exact"/>
        <w:jc w:val="left"/>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18.</w:t>
      </w:r>
      <w:r>
        <w:rPr>
          <w:rFonts w:hint="eastAsia" w:ascii="仿宋" w:hAnsi="仿宋" w:eastAsia="仿宋" w:cs="Times New Roman"/>
          <w:color w:val="000000" w:themeColor="text1"/>
          <w:sz w:val="24"/>
          <w:szCs w:val="24"/>
          <w14:textFill>
            <w14:solidFill>
              <w14:schemeClr w14:val="tx1"/>
            </w14:solidFill>
          </w14:textFill>
        </w:rPr>
        <w:t>审核项目五：</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包含</w:t>
      </w:r>
      <w:r>
        <w:rPr>
          <w:rFonts w:hint="eastAsia" w:ascii="仿宋" w:hAnsi="仿宋" w:eastAsia="仿宋" w:cs="Times New Roman"/>
          <w:color w:val="000000" w:themeColor="text1"/>
          <w:sz w:val="24"/>
          <w:szCs w:val="24"/>
          <w14:textFill>
            <w14:solidFill>
              <w14:schemeClr w14:val="tx1"/>
            </w14:solidFill>
          </w14:textFill>
        </w:rPr>
        <w:t>四个要素：招生及生源情况；学生指导与服务；</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；就业与发展。</w:t>
      </w:r>
    </w:p>
    <w:p>
      <w:pPr>
        <w:widowControl/>
        <w:jc w:val="left"/>
        <w:outlineLvl w:val="1"/>
        <w:rPr>
          <w:rFonts w:ascii="宋体" w:hAnsi="宋体" w:eastAsia="仿宋" w:cs="宋体"/>
          <w:b/>
          <w:bCs/>
          <w:color w:val="000000" w:themeColor="text1"/>
          <w:kern w:val="0"/>
          <w:sz w:val="28"/>
          <w:szCs w:val="36"/>
          <w14:textFill>
            <w14:solidFill>
              <w14:schemeClr w14:val="tx1"/>
            </w14:solidFill>
          </w14:textFill>
        </w:rPr>
      </w:pPr>
      <w:bookmarkStart w:id="7" w:name="_Toc510528107"/>
      <w:r>
        <w:rPr>
          <w:rFonts w:hint="eastAsia" w:ascii="仿宋" w:hAnsi="仿宋" w:eastAsia="仿宋" w:cs="Times New Roman"/>
          <w:color w:val="000000" w:themeColor="text1"/>
          <w:sz w:val="24"/>
          <w:szCs w:val="24"/>
          <w:lang w:val="en-US" w:eastAsia="zh-CN"/>
          <w14:textFill>
            <w14:solidFill>
              <w14:schemeClr w14:val="tx1"/>
            </w14:solidFill>
          </w14:textFill>
        </w:rPr>
        <w:t>19.审核评估的</w:t>
      </w:r>
      <w:bookmarkEnd w:id="7"/>
      <w:r>
        <w:rPr>
          <w:rFonts w:hint="eastAsia" w:ascii="仿宋" w:hAnsi="仿宋" w:eastAsia="仿宋" w:cs="Times New Roman"/>
          <w:color w:val="000000" w:themeColor="text1"/>
          <w:sz w:val="24"/>
          <w:szCs w:val="24"/>
          <w:lang w:val="en-US" w:eastAsia="zh-CN"/>
          <w14:textFill>
            <w14:solidFill>
              <w14:schemeClr w14:val="tx1"/>
            </w14:solidFill>
          </w14:textFill>
        </w:rPr>
        <w:t>重</w:t>
      </w:r>
      <w:r>
        <w:rPr>
          <w:rFonts w:hint="eastAsia" w:ascii="仿宋" w:hAnsi="仿宋" w:eastAsia="仿宋" w:cs="Calibri"/>
          <w:color w:val="000000" w:themeColor="text1"/>
          <w:sz w:val="24"/>
          <w:szCs w:val="24"/>
          <w14:textFill>
            <w14:solidFill>
              <w14:schemeClr w14:val="tx1"/>
            </w14:solidFill>
          </w14:textFill>
        </w:rPr>
        <w:t>点是对学校教学工作“</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”进行审核。</w:t>
      </w:r>
    </w:p>
    <w:p>
      <w:pPr>
        <w:spacing w:line="400" w:lineRule="exact"/>
        <w:jc w:val="left"/>
        <w:rPr>
          <w:rFonts w:hint="eastAsia" w:ascii="仿宋" w:hAnsi="仿宋" w:eastAsia="仿宋" w:cs="Calibri"/>
          <w:color w:val="000000" w:themeColor="text1"/>
          <w:sz w:val="24"/>
          <w:szCs w:val="24"/>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20.</w:t>
      </w:r>
      <w:r>
        <w:rPr>
          <w:rFonts w:hint="eastAsia" w:ascii="仿宋" w:hAnsi="仿宋" w:eastAsia="仿宋" w:cs="Calibri"/>
          <w:color w:val="000000" w:themeColor="text1"/>
          <w:sz w:val="24"/>
          <w:szCs w:val="24"/>
          <w14:textFill>
            <w14:solidFill>
              <w14:schemeClr w14:val="tx1"/>
            </w14:solidFill>
          </w14:textFill>
        </w:rPr>
        <w:t>五个度是指：学校人才培养效果与培养目标的</w:t>
      </w:r>
      <w:r>
        <w:rPr>
          <w:rFonts w:hint="eastAsia" w:ascii="仿宋" w:hAnsi="仿宋" w:eastAsia="仿宋" w:cs="Calibri"/>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；学校办学定位和人才培养目标与社会需求的</w:t>
      </w:r>
      <w:r>
        <w:rPr>
          <w:rFonts w:hint="eastAsia" w:ascii="仿宋" w:hAnsi="仿宋" w:eastAsia="仿宋" w:cs="Calibri"/>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；教师和教学资源对学校人才培养的</w:t>
      </w:r>
      <w:r>
        <w:rPr>
          <w:rFonts w:hint="eastAsia" w:ascii="仿宋" w:hAnsi="仿宋" w:eastAsia="仿宋" w:cs="Calibri"/>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；教学质量保障体系运行的</w:t>
      </w:r>
      <w:r>
        <w:rPr>
          <w:rFonts w:hint="eastAsia" w:ascii="仿宋" w:hAnsi="仿宋" w:eastAsia="仿宋" w:cs="Calibri"/>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；学生和用人单位的</w:t>
      </w:r>
      <w:r>
        <w:rPr>
          <w:rFonts w:hint="eastAsia" w:ascii="仿宋" w:hAnsi="仿宋" w:eastAsia="仿宋" w:cs="Calibri"/>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w:t>
      </w:r>
    </w:p>
    <w:p>
      <w:pPr>
        <w:spacing w:line="400" w:lineRule="exact"/>
        <w:jc w:val="left"/>
        <w:rPr>
          <w:rFonts w:hint="eastAsia" w:ascii="仿宋" w:hAnsi="仿宋" w:eastAsia="仿宋" w:cs="Calibri"/>
          <w:color w:val="000000" w:themeColor="text1"/>
          <w:sz w:val="24"/>
          <w:szCs w:val="24"/>
          <w:lang w:val="en-US" w:eastAsia="zh-CN"/>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21.</w:t>
      </w:r>
      <w:r>
        <w:rPr>
          <w:rFonts w:hint="eastAsia" w:ascii="仿宋" w:hAnsi="仿宋" w:eastAsia="仿宋" w:cs="Times New Roman"/>
          <w:color w:val="000000" w:themeColor="text1"/>
          <w:sz w:val="24"/>
          <w:szCs w:val="24"/>
          <w14:textFill>
            <w14:solidFill>
              <w14:schemeClr w14:val="tx1"/>
            </w14:solidFill>
          </w14:textFill>
        </w:rPr>
        <w:t>专家走访寝室时，在寝室的同学应</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，起立欢迎客人，做到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p>
    <w:p>
      <w:pPr>
        <w:spacing w:line="400" w:lineRule="exact"/>
        <w:jc w:val="left"/>
        <w:rPr>
          <w:rFonts w:hint="eastAsia" w:ascii="仿宋" w:hAnsi="仿宋" w:eastAsia="仿宋" w:cs="Calibri"/>
          <w:color w:val="000000" w:themeColor="text1"/>
          <w:sz w:val="24"/>
          <w:szCs w:val="24"/>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2</w:t>
      </w:r>
      <w:r>
        <w:rPr>
          <w:rFonts w:hint="eastAsia" w:ascii="仿宋" w:hAnsi="仿宋" w:eastAsia="仿宋" w:cs="Calibri"/>
          <w:color w:val="000000" w:themeColor="text1"/>
          <w:sz w:val="24"/>
          <w:szCs w:val="24"/>
          <w14:textFill>
            <w14:solidFill>
              <w14:schemeClr w14:val="tx1"/>
            </w14:solidFill>
          </w14:textFill>
        </w:rPr>
        <w:t>2、评估方式与评估重点在于“</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”，包括5个方面：考察学校办学定位和人才培养目标与国家和区域经济社会发展需求的“</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”，考察教师和教学资源条件的“</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”，考察教学和质量保障体系运行的“</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”，考察学生和社会用人单位的“</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”，审核评估学校人才培养目标与培养效果的“</w:t>
      </w:r>
      <w:r>
        <w:rPr>
          <w:rFonts w:hint="eastAsia" w:ascii="仿宋" w:hAnsi="仿宋" w:eastAsia="仿宋" w:cs="Calibri"/>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Calibri"/>
          <w:color w:val="000000" w:themeColor="text1"/>
          <w:sz w:val="24"/>
          <w:szCs w:val="24"/>
          <w14:textFill>
            <w14:solidFill>
              <w14:schemeClr w14:val="tx1"/>
            </w14:solidFill>
          </w14:textFill>
        </w:rPr>
        <w:t>”。</w:t>
      </w:r>
    </w:p>
    <w:p>
      <w:pPr>
        <w:spacing w:line="4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Calibri"/>
          <w:color w:val="000000" w:themeColor="text1"/>
          <w:sz w:val="24"/>
          <w:szCs w:val="24"/>
          <w:lang w:val="en-US" w:eastAsia="zh-CN"/>
          <w14:textFill>
            <w14:solidFill>
              <w14:schemeClr w14:val="tx1"/>
            </w14:solidFill>
          </w14:textFill>
        </w:rPr>
        <w:t>23.</w:t>
      </w:r>
      <w:r>
        <w:rPr>
          <w:rFonts w:hint="eastAsia" w:ascii="仿宋" w:hAnsi="仿宋" w:eastAsia="仿宋" w:cs="Times New Roman"/>
          <w:color w:val="000000" w:themeColor="text1"/>
          <w:sz w:val="24"/>
          <w:szCs w:val="24"/>
          <w14:textFill>
            <w14:solidFill>
              <w14:schemeClr w14:val="tx1"/>
            </w14:solidFill>
          </w14:textFill>
        </w:rPr>
        <w:t>上课时按照</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、教室前排座位不空缺的原则就坐，学生干部主动安排督促。</w:t>
      </w:r>
    </w:p>
    <w:p>
      <w:pPr>
        <w:spacing w:line="400" w:lineRule="exact"/>
        <w:jc w:val="left"/>
        <w:rPr>
          <w:rFonts w:hint="eastAsia" w:ascii="仿宋" w:hAnsi="仿宋" w:eastAsia="仿宋" w:cs="Calibri"/>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24.</w:t>
      </w:r>
      <w:r>
        <w:rPr>
          <w:rFonts w:hint="eastAsia" w:ascii="仿宋" w:hAnsi="仿宋" w:eastAsia="仿宋" w:cs="Times New Roman"/>
          <w:color w:val="000000" w:themeColor="text1"/>
          <w:sz w:val="24"/>
          <w:szCs w:val="24"/>
          <w14:textFill>
            <w14:solidFill>
              <w14:schemeClr w14:val="tx1"/>
            </w14:solidFill>
          </w14:textFill>
        </w:rPr>
        <w:t>充分发挥</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和</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的带头作用，引导学生合理安排作息时间，走出寝室、走下网络，多去</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等自学，不玩游戏。</w:t>
      </w:r>
    </w:p>
    <w:p>
      <w:pPr>
        <w:spacing w:line="400" w:lineRule="exact"/>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25.</w:t>
      </w:r>
      <w:r>
        <w:rPr>
          <w:rFonts w:hint="eastAsia" w:ascii="仿宋" w:hAnsi="仿宋" w:eastAsia="仿宋" w:cs="Times New Roman"/>
          <w:color w:val="000000" w:themeColor="text1"/>
          <w:sz w:val="24"/>
          <w:szCs w:val="24"/>
          <w14:textFill>
            <w14:solidFill>
              <w14:schemeClr w14:val="tx1"/>
            </w14:solidFill>
          </w14:textFill>
        </w:rPr>
        <w:t>审核项目一：定位与目标,包含三个要素：</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p>
    <w:bookmarkEnd w:id="5"/>
    <w:p>
      <w:pPr>
        <w:widowControl/>
        <w:jc w:val="left"/>
        <w:outlineLvl w:val="1"/>
        <w:rPr>
          <w:rFonts w:hint="eastAsia" w:ascii="仿宋" w:hAnsi="仿宋" w:eastAsia="仿宋" w:cs="Times New Roman"/>
          <w:color w:val="000000" w:themeColor="text1"/>
          <w:sz w:val="24"/>
          <w:szCs w:val="24"/>
          <w:u w:val="single"/>
          <w:lang w:val="en-US" w:eastAsia="zh-CN"/>
          <w14:textFill>
            <w14:solidFill>
              <w14:schemeClr w14:val="tx1"/>
            </w14:solidFill>
          </w14:textFill>
        </w:rPr>
      </w:pPr>
      <w:bookmarkStart w:id="8" w:name="_Toc510528111"/>
      <w:r>
        <w:rPr>
          <w:rFonts w:hint="eastAsia" w:ascii="仿宋" w:hAnsi="仿宋" w:eastAsia="仿宋" w:cs="Times New Roman"/>
          <w:color w:val="000000" w:themeColor="text1"/>
          <w:sz w:val="24"/>
          <w:szCs w:val="24"/>
          <w:lang w:val="en-US" w:eastAsia="zh-CN"/>
          <w14:textFill>
            <w14:solidFill>
              <w14:schemeClr w14:val="tx1"/>
            </w14:solidFill>
          </w14:textFill>
        </w:rPr>
        <w:t>26.</w:t>
      </w:r>
      <w:bookmarkEnd w:id="8"/>
      <w:r>
        <w:rPr>
          <w:rFonts w:hint="eastAsia" w:ascii="仿宋" w:hAnsi="仿宋" w:eastAsia="仿宋" w:cs="Times New Roman"/>
          <w:color w:val="000000" w:themeColor="text1"/>
          <w:sz w:val="24"/>
          <w:szCs w:val="24"/>
          <w14:textFill>
            <w14:solidFill>
              <w14:schemeClr w14:val="tx1"/>
            </w14:solidFill>
          </w14:textFill>
        </w:rPr>
        <w:t>评估具有</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bookmarkStart w:id="9" w:name="_GoBack"/>
      <w:bookmarkEnd w:id="9"/>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和</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作用，能够促进学校不断改善办学条件，形成</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p>
    <w:p>
      <w:pPr>
        <w:widowControl/>
        <w:ind w:left="1199" w:leftChars="228" w:hanging="720" w:hangingChars="300"/>
        <w:jc w:val="left"/>
        <w:outlineLvl w:val="1"/>
        <w:rPr>
          <w:rFonts w:ascii="宋体" w:hAnsi="宋体" w:eastAsia="仿宋" w:cs="宋体"/>
          <w:b/>
          <w:bCs/>
          <w:color w:val="000000" w:themeColor="text1"/>
          <w:kern w:val="0"/>
          <w:sz w:val="28"/>
          <w:szCs w:val="36"/>
          <w14:textFill>
            <w14:solidFill>
              <w14:schemeClr w14:val="tx1"/>
            </w14:solidFill>
          </w14:textFill>
        </w:rPr>
      </w:pP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和监控机制，达到提高教学质量的目的。</w:t>
      </w:r>
    </w:p>
    <w:p>
      <w:pPr>
        <w:spacing w:line="400" w:lineRule="exact"/>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27.</w:t>
      </w:r>
      <w:r>
        <w:rPr>
          <w:rFonts w:hint="eastAsia" w:ascii="仿宋" w:hAnsi="仿宋" w:eastAsia="仿宋" w:cs="Times New Roman"/>
          <w:color w:val="000000" w:themeColor="text1"/>
          <w:sz w:val="24"/>
          <w:szCs w:val="24"/>
          <w14:textFill>
            <w14:solidFill>
              <w14:schemeClr w14:val="tx1"/>
            </w14:solidFill>
          </w14:textFill>
        </w:rPr>
        <w:t>评估将进一步促进学校加大师资力量建设、</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的力度，促进学校提高</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和</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 xml:space="preserve">，广大学生将会得到更优质的教育。 </w:t>
      </w:r>
    </w:p>
    <w:p>
      <w:pPr>
        <w:spacing w:line="400" w:lineRule="exact"/>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28.</w:t>
      </w:r>
      <w:r>
        <w:rPr>
          <w:rFonts w:hint="eastAsia" w:ascii="仿宋" w:hAnsi="仿宋" w:eastAsia="仿宋" w:cs="Times New Roman"/>
          <w:color w:val="000000" w:themeColor="text1"/>
          <w:sz w:val="24"/>
          <w:szCs w:val="24"/>
          <w14:textFill>
            <w14:solidFill>
              <w14:schemeClr w14:val="tx1"/>
            </w14:solidFill>
          </w14:textFill>
        </w:rPr>
        <w:t>评估结果将直接关系到</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今后的发展。如果我校此次评估取得好成绩，将会极大提高我校的社会形象和地位，将会进一步增强广大学生和家长的求学和送学信心，吸引更多的用人单位来我校招聘毕业生，创造更多的</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和更高的</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 xml:space="preserve"> </w:t>
      </w:r>
    </w:p>
    <w:p>
      <w:pPr>
        <w:spacing w:line="4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29.</w:t>
      </w:r>
      <w:r>
        <w:rPr>
          <w:rFonts w:hint="eastAsia" w:ascii="仿宋" w:hAnsi="仿宋" w:eastAsia="仿宋" w:cs="Times New Roman"/>
          <w:color w:val="000000" w:themeColor="text1"/>
          <w:sz w:val="24"/>
          <w:szCs w:val="24"/>
          <w14:textFill>
            <w14:solidFill>
              <w14:schemeClr w14:val="tx1"/>
            </w14:solidFill>
          </w14:textFill>
        </w:rPr>
        <w:t>寝室物品摆放整齐；爱护</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；遵守</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；遵守</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保</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p>
    <w:p>
      <w:pPr>
        <w:spacing w:line="4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30.</w:t>
      </w:r>
      <w:r>
        <w:rPr>
          <w:rFonts w:hint="eastAsia" w:ascii="仿宋" w:hAnsi="仿宋" w:eastAsia="仿宋" w:cs="Times New Roman"/>
          <w:color w:val="000000" w:themeColor="text1"/>
          <w:sz w:val="24"/>
          <w:szCs w:val="24"/>
          <w14:textFill>
            <w14:solidFill>
              <w14:schemeClr w14:val="tx1"/>
            </w14:solidFill>
          </w14:textFill>
        </w:rPr>
        <w:t>评估将进一步促使高校加大本科教学投入，改善</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，加强</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，保证</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w:t>
      </w:r>
    </w:p>
    <w:p>
      <w:pPr>
        <w:spacing w:line="400" w:lineRule="exact"/>
        <w:jc w:val="left"/>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31.</w:t>
      </w:r>
      <w:r>
        <w:rPr>
          <w:rFonts w:hint="eastAsia" w:ascii="仿宋" w:hAnsi="仿宋" w:eastAsia="仿宋" w:cs="Times New Roman"/>
          <w:color w:val="000000" w:themeColor="text1"/>
          <w:sz w:val="24"/>
          <w:szCs w:val="24"/>
          <w14:textFill>
            <w14:solidFill>
              <w14:schemeClr w14:val="tx1"/>
            </w14:solidFill>
          </w14:textFill>
        </w:rPr>
        <w:t>专家听课时，</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，座位附近同学积极配合专家，必要时给专家让座。专家进校</w:t>
      </w:r>
      <w:r>
        <w:rPr>
          <w:rFonts w:ascii="仿宋" w:hAnsi="仿宋" w:eastAsia="仿宋" w:cs="Times New Roman"/>
          <w:color w:val="000000" w:themeColor="text1"/>
          <w:sz w:val="24"/>
          <w:szCs w:val="24"/>
          <w14:textFill>
            <w14:solidFill>
              <w14:schemeClr w14:val="tx1"/>
            </w14:solidFill>
          </w14:textFill>
        </w:rPr>
        <w:t>考察期间，男女同学</w:t>
      </w:r>
      <w:r>
        <w:rPr>
          <w:rFonts w:hint="eastAsia" w:ascii="仿宋" w:hAnsi="仿宋" w:eastAsia="仿宋" w:cs="Times New Roman"/>
          <w:color w:val="000000" w:themeColor="text1"/>
          <w:sz w:val="24"/>
          <w:szCs w:val="24"/>
          <w14:textFill>
            <w14:solidFill>
              <w14:schemeClr w14:val="tx1"/>
            </w14:solidFill>
          </w14:textFill>
        </w:rPr>
        <w:t>注意</w:t>
      </w:r>
      <w:r>
        <w:rPr>
          <w:rFonts w:hint="eastAsia" w:ascii="仿宋" w:hAnsi="仿宋" w:eastAsia="仿宋" w:cs="Times New Roman"/>
          <w:color w:val="000000" w:themeColor="text1"/>
          <w:sz w:val="24"/>
          <w:szCs w:val="24"/>
          <w:u w:val="single"/>
          <w:lang w:val="en-US" w:eastAsia="zh-CN"/>
          <w14:textFill>
            <w14:solidFill>
              <w14:schemeClr w14:val="tx1"/>
            </w14:solidFill>
          </w14:textFill>
        </w:rPr>
        <w:t xml:space="preserve">         </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不得</w:t>
      </w:r>
      <w:r>
        <w:rPr>
          <w:rFonts w:ascii="仿宋" w:hAnsi="仿宋" w:eastAsia="仿宋" w:cs="Times New Roman"/>
          <w:color w:val="000000" w:themeColor="text1"/>
          <w:sz w:val="24"/>
          <w:szCs w:val="24"/>
          <w14:textFill>
            <w14:solidFill>
              <w14:schemeClr w14:val="tx1"/>
            </w14:solidFill>
          </w14:textFill>
        </w:rPr>
        <w:t>在校园</w:t>
      </w:r>
      <w:r>
        <w:rPr>
          <w:rFonts w:hint="eastAsia" w:ascii="仿宋" w:hAnsi="仿宋" w:eastAsia="仿宋" w:cs="Times New Roman"/>
          <w:color w:val="000000" w:themeColor="text1"/>
          <w:sz w:val="24"/>
          <w:szCs w:val="24"/>
          <w14:textFill>
            <w14:solidFill>
              <w14:schemeClr w14:val="tx1"/>
            </w14:solidFill>
          </w14:textFill>
        </w:rPr>
        <w:t>公共场合</w:t>
      </w:r>
      <w:r>
        <w:rPr>
          <w:rFonts w:ascii="仿宋" w:hAnsi="仿宋" w:eastAsia="仿宋" w:cs="Times New Roman"/>
          <w:color w:val="000000" w:themeColor="text1"/>
          <w:sz w:val="24"/>
          <w:szCs w:val="24"/>
          <w14:textFill>
            <w14:solidFill>
              <w14:schemeClr w14:val="tx1"/>
            </w14:solidFill>
          </w14:textFill>
        </w:rPr>
        <w:t>过分亲密。</w:t>
      </w:r>
    </w:p>
    <w:p>
      <w:pPr>
        <w:widowControl/>
        <w:jc w:val="left"/>
        <w:rPr>
          <w:rFonts w:ascii="仿宋" w:hAnsi="仿宋" w:eastAsia="仿宋" w:cs="Times New Roman"/>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055624"/>
      <w:docPartObj>
        <w:docPartGallery w:val="autotext"/>
      </w:docPartObj>
    </w:sdtPr>
    <w:sdtContent>
      <w:p>
        <w:pPr>
          <w:pStyle w:val="11"/>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11"/>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6779"/>
    <w:multiLevelType w:val="multilevel"/>
    <w:tmpl w:val="1CBB6779"/>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1"/>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C5"/>
    <w:rsid w:val="000078BD"/>
    <w:rsid w:val="00084BF9"/>
    <w:rsid w:val="00425A85"/>
    <w:rsid w:val="004277C5"/>
    <w:rsid w:val="005F057A"/>
    <w:rsid w:val="00630E62"/>
    <w:rsid w:val="00965954"/>
    <w:rsid w:val="00981ABE"/>
    <w:rsid w:val="00AB3C5C"/>
    <w:rsid w:val="00AE1212"/>
    <w:rsid w:val="00BC583A"/>
    <w:rsid w:val="00BF520B"/>
    <w:rsid w:val="00C1082D"/>
    <w:rsid w:val="00D473CD"/>
    <w:rsid w:val="00E41656"/>
    <w:rsid w:val="00EB6E73"/>
    <w:rsid w:val="00F91910"/>
    <w:rsid w:val="00FD07D7"/>
    <w:rsid w:val="00FD5356"/>
    <w:rsid w:val="446B3BE8"/>
    <w:rsid w:val="514E11C3"/>
    <w:rsid w:val="56CF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9"/>
    <w:pPr>
      <w:widowControl/>
      <w:spacing w:before="100" w:beforeAutospacing="1" w:after="100" w:afterAutospacing="1"/>
      <w:jc w:val="center"/>
      <w:outlineLvl w:val="0"/>
    </w:pPr>
    <w:rPr>
      <w:rFonts w:ascii="宋体" w:hAnsi="宋体" w:eastAsia="黑体" w:cs="宋体"/>
      <w:b/>
      <w:bCs/>
      <w:kern w:val="36"/>
      <w:sz w:val="36"/>
      <w:szCs w:val="48"/>
    </w:rPr>
  </w:style>
  <w:style w:type="paragraph" w:styleId="3">
    <w:name w:val="heading 2"/>
    <w:basedOn w:val="1"/>
    <w:next w:val="1"/>
    <w:link w:val="28"/>
    <w:qFormat/>
    <w:uiPriority w:val="99"/>
    <w:pPr>
      <w:widowControl/>
      <w:ind w:firstLine="200" w:firstLineChars="200"/>
      <w:jc w:val="left"/>
      <w:outlineLvl w:val="1"/>
    </w:pPr>
    <w:rPr>
      <w:rFonts w:ascii="宋体" w:hAnsi="宋体" w:eastAsia="仿宋" w:cs="宋体"/>
      <w:b/>
      <w:bCs/>
      <w:kern w:val="0"/>
      <w:sz w:val="28"/>
      <w:szCs w:val="36"/>
    </w:rPr>
  </w:style>
  <w:style w:type="paragraph" w:styleId="4">
    <w:name w:val="heading 3"/>
    <w:basedOn w:val="1"/>
    <w:next w:val="1"/>
    <w:link w:val="29"/>
    <w:qFormat/>
    <w:uiPriority w:val="99"/>
    <w:pPr>
      <w:widowControl/>
      <w:spacing w:before="100" w:beforeAutospacing="1" w:after="100" w:afterAutospacing="1"/>
      <w:jc w:val="left"/>
      <w:outlineLvl w:val="2"/>
    </w:pPr>
    <w:rPr>
      <w:rFonts w:ascii="宋体" w:hAnsi="宋体" w:eastAsia="仿宋" w:cs="宋体"/>
      <w:b/>
      <w:bCs/>
      <w:kern w:val="0"/>
      <w:sz w:val="28"/>
      <w:szCs w:val="27"/>
    </w:rPr>
  </w:style>
  <w:style w:type="paragraph" w:styleId="5">
    <w:name w:val="heading 4"/>
    <w:basedOn w:val="1"/>
    <w:next w:val="1"/>
    <w:link w:val="46"/>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5"/>
    <w:semiHidden/>
    <w:unhideWhenUsed/>
    <w:qFormat/>
    <w:uiPriority w:val="99"/>
    <w:rPr>
      <w:b/>
      <w:bCs/>
    </w:rPr>
  </w:style>
  <w:style w:type="paragraph" w:styleId="7">
    <w:name w:val="annotation text"/>
    <w:basedOn w:val="1"/>
    <w:link w:val="31"/>
    <w:unhideWhenUsed/>
    <w:uiPriority w:val="99"/>
    <w:pPr>
      <w:jc w:val="left"/>
    </w:pPr>
    <w:rPr>
      <w:rFonts w:ascii="Calibri" w:hAnsi="Calibri" w:eastAsia="宋体" w:cs="Calibri"/>
      <w:szCs w:val="21"/>
    </w:rPr>
  </w:style>
  <w:style w:type="paragraph" w:styleId="8">
    <w:name w:val="toc 3"/>
    <w:basedOn w:val="1"/>
    <w:next w:val="1"/>
    <w:qFormat/>
    <w:uiPriority w:val="39"/>
    <w:pPr>
      <w:ind w:left="840" w:leftChars="400"/>
    </w:pPr>
    <w:rPr>
      <w:rFonts w:ascii="Calibri" w:hAnsi="Calibri" w:eastAsia="宋体" w:cs="Calibri"/>
      <w:szCs w:val="21"/>
    </w:rPr>
  </w:style>
  <w:style w:type="paragraph" w:styleId="9">
    <w:name w:val="Date"/>
    <w:basedOn w:val="1"/>
    <w:next w:val="1"/>
    <w:link w:val="38"/>
    <w:semiHidden/>
    <w:unhideWhenUsed/>
    <w:qFormat/>
    <w:uiPriority w:val="99"/>
    <w:pPr>
      <w:ind w:left="100" w:leftChars="2500"/>
    </w:pPr>
    <w:rPr>
      <w:rFonts w:ascii="Calibri" w:hAnsi="Calibri" w:eastAsia="宋体" w:cs="Calibri"/>
      <w:szCs w:val="21"/>
    </w:rPr>
  </w:style>
  <w:style w:type="paragraph" w:styleId="10">
    <w:name w:val="Balloon Text"/>
    <w:basedOn w:val="1"/>
    <w:link w:val="32"/>
    <w:semiHidden/>
    <w:qFormat/>
    <w:uiPriority w:val="99"/>
    <w:rPr>
      <w:rFonts w:ascii="Calibri" w:hAnsi="Calibri" w:eastAsia="宋体" w:cs="Calibri"/>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spacing w:line="500" w:lineRule="exact"/>
    </w:pPr>
    <w:rPr>
      <w:rFonts w:ascii="黑体" w:hAnsi="黑体" w:eastAsia="黑体" w:cs="黑体"/>
      <w:sz w:val="24"/>
      <w:szCs w:val="24"/>
    </w:rPr>
  </w:style>
  <w:style w:type="paragraph" w:styleId="14">
    <w:name w:val="toc 2"/>
    <w:basedOn w:val="1"/>
    <w:next w:val="1"/>
    <w:qFormat/>
    <w:uiPriority w:val="39"/>
    <w:pPr>
      <w:tabs>
        <w:tab w:val="right" w:leader="dot" w:pos="8296"/>
      </w:tabs>
      <w:spacing w:line="500" w:lineRule="exact"/>
      <w:ind w:left="420" w:leftChars="200"/>
    </w:pPr>
    <w:rPr>
      <w:rFonts w:ascii="宋体" w:hAnsi="宋体" w:eastAsia="宋体" w:cs="宋体"/>
      <w:szCs w:val="21"/>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47"/>
    <w:qFormat/>
    <w:uiPriority w:val="0"/>
    <w:pPr>
      <w:spacing w:before="240" w:after="60"/>
      <w:jc w:val="center"/>
      <w:outlineLvl w:val="0"/>
    </w:pPr>
    <w:rPr>
      <w:rFonts w:ascii="Cambria" w:hAnsi="Cambria" w:eastAsia="宋体" w:cs="Times New Roman"/>
      <w:b/>
      <w:bCs/>
      <w:sz w:val="32"/>
      <w:szCs w:val="32"/>
    </w:rPr>
  </w:style>
  <w:style w:type="character" w:styleId="18">
    <w:name w:val="Strong"/>
    <w:basedOn w:val="17"/>
    <w:qFormat/>
    <w:uiPriority w:val="22"/>
    <w:rPr>
      <w:b/>
      <w:bCs/>
    </w:rPr>
  </w:style>
  <w:style w:type="character" w:styleId="19">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0">
    <w:name w:val="Emphasis"/>
    <w:basedOn w:val="17"/>
    <w:qFormat/>
    <w:uiPriority w:val="20"/>
    <w:rPr>
      <w:i/>
      <w:iCs/>
    </w:rPr>
  </w:style>
  <w:style w:type="character" w:styleId="21">
    <w:name w:val="Hyperlink"/>
    <w:basedOn w:val="17"/>
    <w:qFormat/>
    <w:uiPriority w:val="99"/>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9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页眉 Char"/>
    <w:basedOn w:val="17"/>
    <w:link w:val="12"/>
    <w:qFormat/>
    <w:uiPriority w:val="99"/>
    <w:rPr>
      <w:sz w:val="18"/>
      <w:szCs w:val="18"/>
    </w:rPr>
  </w:style>
  <w:style w:type="character" w:customStyle="1" w:styleId="26">
    <w:name w:val="页脚 Char"/>
    <w:basedOn w:val="17"/>
    <w:link w:val="11"/>
    <w:qFormat/>
    <w:uiPriority w:val="99"/>
    <w:rPr>
      <w:sz w:val="18"/>
      <w:szCs w:val="18"/>
    </w:rPr>
  </w:style>
  <w:style w:type="character" w:customStyle="1" w:styleId="27">
    <w:name w:val="标题 1 Char"/>
    <w:basedOn w:val="17"/>
    <w:link w:val="2"/>
    <w:uiPriority w:val="99"/>
    <w:rPr>
      <w:rFonts w:ascii="宋体" w:hAnsi="宋体" w:eastAsia="黑体" w:cs="宋体"/>
      <w:b/>
      <w:bCs/>
      <w:kern w:val="36"/>
      <w:sz w:val="36"/>
      <w:szCs w:val="48"/>
    </w:rPr>
  </w:style>
  <w:style w:type="character" w:customStyle="1" w:styleId="28">
    <w:name w:val="标题 2 Char"/>
    <w:basedOn w:val="17"/>
    <w:link w:val="3"/>
    <w:qFormat/>
    <w:uiPriority w:val="99"/>
    <w:rPr>
      <w:rFonts w:ascii="宋体" w:hAnsi="宋体" w:eastAsia="仿宋" w:cs="宋体"/>
      <w:b/>
      <w:bCs/>
      <w:kern w:val="0"/>
      <w:sz w:val="28"/>
      <w:szCs w:val="36"/>
    </w:rPr>
  </w:style>
  <w:style w:type="character" w:customStyle="1" w:styleId="29">
    <w:name w:val="标题 3 Char"/>
    <w:basedOn w:val="17"/>
    <w:link w:val="4"/>
    <w:uiPriority w:val="99"/>
    <w:rPr>
      <w:rFonts w:ascii="宋体" w:hAnsi="宋体" w:eastAsia="仿宋" w:cs="宋体"/>
      <w:b/>
      <w:bCs/>
      <w:kern w:val="0"/>
      <w:sz w:val="28"/>
      <w:szCs w:val="27"/>
    </w:rPr>
  </w:style>
  <w:style w:type="paragraph" w:customStyle="1" w:styleId="30">
    <w:name w:val="标题 41"/>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customStyle="1" w:styleId="31">
    <w:name w:val="批注文字 Char"/>
    <w:basedOn w:val="17"/>
    <w:link w:val="7"/>
    <w:uiPriority w:val="99"/>
    <w:rPr>
      <w:rFonts w:ascii="Calibri" w:hAnsi="Calibri" w:eastAsia="宋体" w:cs="Calibri"/>
      <w:szCs w:val="21"/>
    </w:rPr>
  </w:style>
  <w:style w:type="character" w:customStyle="1" w:styleId="32">
    <w:name w:val="批注框文本 Char"/>
    <w:basedOn w:val="17"/>
    <w:link w:val="10"/>
    <w:semiHidden/>
    <w:qFormat/>
    <w:uiPriority w:val="99"/>
    <w:rPr>
      <w:rFonts w:ascii="Calibri" w:hAnsi="Calibri" w:eastAsia="宋体" w:cs="Calibri"/>
      <w:sz w:val="18"/>
      <w:szCs w:val="18"/>
    </w:rPr>
  </w:style>
  <w:style w:type="paragraph" w:customStyle="1" w:styleId="33">
    <w:name w:val="TOC 标题1"/>
    <w:basedOn w:val="2"/>
    <w:next w:val="1"/>
    <w:qFormat/>
    <w:uiPriority w:val="99"/>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customStyle="1" w:styleId="34">
    <w:name w:val="列出段落1"/>
    <w:basedOn w:val="1"/>
    <w:qFormat/>
    <w:uiPriority w:val="99"/>
    <w:pPr>
      <w:ind w:firstLine="420" w:firstLineChars="200"/>
    </w:pPr>
    <w:rPr>
      <w:rFonts w:ascii="Cambria" w:hAnsi="Cambria" w:eastAsia="宋体" w:cs="Cambria"/>
      <w:sz w:val="24"/>
      <w:szCs w:val="24"/>
    </w:rPr>
  </w:style>
  <w:style w:type="paragraph" w:styleId="35">
    <w:name w:val="List Paragraph"/>
    <w:basedOn w:val="1"/>
    <w:unhideWhenUsed/>
    <w:qFormat/>
    <w:uiPriority w:val="34"/>
    <w:pPr>
      <w:ind w:firstLine="420" w:firstLineChars="200"/>
    </w:pPr>
    <w:rPr>
      <w:rFonts w:ascii="Calibri" w:hAnsi="Calibri" w:eastAsia="宋体" w:cs="Calibri"/>
      <w:szCs w:val="21"/>
    </w:rPr>
  </w:style>
  <w:style w:type="paragraph" w:customStyle="1" w:styleId="36">
    <w:name w:val="Default"/>
    <w:qFormat/>
    <w:uiPriority w:val="0"/>
    <w:pPr>
      <w:widowControl w:val="0"/>
      <w:autoSpaceDE w:val="0"/>
      <w:autoSpaceDN w:val="0"/>
      <w:adjustRightInd w:val="0"/>
    </w:pPr>
    <w:rPr>
      <w:rFonts w:ascii="Times New Roman" w:hAnsi="Times New Roman" w:eastAsia="微软雅黑" w:cs="Times New Roman"/>
      <w:color w:val="000000"/>
      <w:kern w:val="0"/>
      <w:sz w:val="24"/>
      <w:szCs w:val="24"/>
      <w:lang w:val="en-US" w:eastAsia="zh-CN" w:bidi="ar-SA"/>
    </w:rPr>
  </w:style>
  <w:style w:type="paragraph" w:customStyle="1" w:styleId="37">
    <w:name w:val="TOC 标题2"/>
    <w:basedOn w:val="2"/>
    <w:next w:val="1"/>
    <w:unhideWhenUsed/>
    <w:qFormat/>
    <w:uiPriority w:val="39"/>
    <w:pPr>
      <w:keepNext/>
      <w:keepLines/>
      <w:spacing w:before="480" w:beforeAutospacing="0" w:after="0" w:afterAutospacing="0" w:line="276" w:lineRule="auto"/>
      <w:jc w:val="left"/>
      <w:outlineLvl w:val="9"/>
    </w:pPr>
    <w:rPr>
      <w:rFonts w:ascii="Cambria" w:hAnsi="Cambria" w:eastAsia="宋体" w:cs="Times New Roman"/>
      <w:color w:val="365F91"/>
      <w:kern w:val="0"/>
      <w:sz w:val="28"/>
      <w:szCs w:val="28"/>
    </w:rPr>
  </w:style>
  <w:style w:type="character" w:customStyle="1" w:styleId="38">
    <w:name w:val="日期 Char"/>
    <w:basedOn w:val="17"/>
    <w:link w:val="9"/>
    <w:semiHidden/>
    <w:uiPriority w:val="99"/>
    <w:rPr>
      <w:rFonts w:ascii="Calibri" w:hAnsi="Calibri" w:eastAsia="宋体" w:cs="Calibri"/>
      <w:szCs w:val="21"/>
    </w:rPr>
  </w:style>
  <w:style w:type="character" w:customStyle="1" w:styleId="39">
    <w:name w:val="访问过的超链接1"/>
    <w:basedOn w:val="17"/>
    <w:semiHidden/>
    <w:unhideWhenUsed/>
    <w:qFormat/>
    <w:uiPriority w:val="99"/>
    <w:rPr>
      <w:color w:val="800080"/>
      <w:u w:val="single"/>
    </w:rPr>
  </w:style>
  <w:style w:type="character" w:customStyle="1" w:styleId="40">
    <w:name w:val="标题3 Char"/>
    <w:link w:val="41"/>
    <w:qFormat/>
    <w:uiPriority w:val="99"/>
    <w:rPr>
      <w:rFonts w:eastAsia="仿宋_GB2312"/>
      <w:b/>
      <w:bCs/>
      <w:sz w:val="32"/>
      <w:szCs w:val="30"/>
    </w:rPr>
  </w:style>
  <w:style w:type="paragraph" w:customStyle="1" w:styleId="41">
    <w:name w:val="标题3"/>
    <w:basedOn w:val="4"/>
    <w:link w:val="40"/>
    <w:qFormat/>
    <w:uiPriority w:val="99"/>
    <w:pPr>
      <w:keepLines/>
      <w:widowControl w:val="0"/>
      <w:numPr>
        <w:ilvl w:val="2"/>
        <w:numId w:val="1"/>
      </w:numPr>
      <w:tabs>
        <w:tab w:val="left" w:pos="567"/>
      </w:tabs>
      <w:spacing w:beforeLines="20" w:beforeAutospacing="0" w:afterLines="20" w:afterAutospacing="0" w:line="520" w:lineRule="exact"/>
      <w:ind w:firstLine="300" w:firstLineChars="100"/>
      <w:jc w:val="both"/>
    </w:pPr>
    <w:rPr>
      <w:rFonts w:eastAsia="仿宋_GB2312" w:asciiTheme="minorHAnsi" w:hAnsiTheme="minorHAnsi" w:cstheme="minorBidi"/>
      <w:kern w:val="2"/>
      <w:sz w:val="32"/>
      <w:szCs w:val="30"/>
    </w:rPr>
  </w:style>
  <w:style w:type="character" w:customStyle="1" w:styleId="42">
    <w:name w:val="标题 4 Char"/>
    <w:basedOn w:val="17"/>
    <w:link w:val="5"/>
    <w:uiPriority w:val="0"/>
    <w:rPr>
      <w:rFonts w:ascii="Cambria" w:hAnsi="Cambria" w:eastAsia="宋体" w:cs="Times New Roman"/>
      <w:b/>
      <w:bCs/>
      <w:kern w:val="2"/>
      <w:sz w:val="28"/>
      <w:szCs w:val="28"/>
    </w:rPr>
  </w:style>
  <w:style w:type="paragraph" w:customStyle="1" w:styleId="43">
    <w:name w:val="标题1"/>
    <w:basedOn w:val="1"/>
    <w:next w:val="1"/>
    <w:qFormat/>
    <w:locked/>
    <w:uiPriority w:val="0"/>
    <w:pPr>
      <w:spacing w:before="240" w:after="60"/>
      <w:jc w:val="center"/>
      <w:outlineLvl w:val="0"/>
    </w:pPr>
    <w:rPr>
      <w:rFonts w:ascii="Cambria" w:hAnsi="Cambria" w:eastAsia="宋体" w:cs="Times New Roman"/>
      <w:b/>
      <w:bCs/>
      <w:sz w:val="32"/>
      <w:szCs w:val="32"/>
    </w:rPr>
  </w:style>
  <w:style w:type="character" w:customStyle="1" w:styleId="44">
    <w:name w:val="标题 Char"/>
    <w:basedOn w:val="17"/>
    <w:link w:val="16"/>
    <w:qFormat/>
    <w:uiPriority w:val="0"/>
    <w:rPr>
      <w:rFonts w:ascii="Cambria" w:hAnsi="Cambria" w:eastAsia="宋体" w:cs="Times New Roman"/>
      <w:b/>
      <w:bCs/>
      <w:kern w:val="2"/>
      <w:sz w:val="32"/>
      <w:szCs w:val="32"/>
    </w:rPr>
  </w:style>
  <w:style w:type="character" w:customStyle="1" w:styleId="45">
    <w:name w:val="批注主题 Char"/>
    <w:basedOn w:val="31"/>
    <w:link w:val="6"/>
    <w:semiHidden/>
    <w:qFormat/>
    <w:uiPriority w:val="99"/>
    <w:rPr>
      <w:rFonts w:ascii="Calibri" w:hAnsi="Calibri" w:eastAsia="宋体" w:cs="Calibri"/>
      <w:b/>
      <w:bCs/>
      <w:szCs w:val="21"/>
    </w:rPr>
  </w:style>
  <w:style w:type="character" w:customStyle="1" w:styleId="46">
    <w:name w:val="标题 4 Char1"/>
    <w:basedOn w:val="17"/>
    <w:link w:val="5"/>
    <w:semiHidden/>
    <w:qFormat/>
    <w:uiPriority w:val="9"/>
    <w:rPr>
      <w:rFonts w:asciiTheme="majorHAnsi" w:hAnsiTheme="majorHAnsi" w:eastAsiaTheme="majorEastAsia" w:cstheme="majorBidi"/>
      <w:b/>
      <w:bCs/>
      <w:sz w:val="28"/>
      <w:szCs w:val="28"/>
    </w:rPr>
  </w:style>
  <w:style w:type="character" w:customStyle="1" w:styleId="47">
    <w:name w:val="标题 Char1"/>
    <w:basedOn w:val="17"/>
    <w:link w:val="16"/>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410</Words>
  <Characters>2339</Characters>
  <Lines>19</Lines>
  <Paragraphs>5</Paragraphs>
  <ScaleCrop>false</ScaleCrop>
  <LinksUpToDate>false</LinksUpToDate>
  <CharactersWithSpaces>2744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2018-04-11T01:38:00Z</dcterms:created>
  <dc:creator>审评办</dc:creator>
  <cp:lastModifiedBy>Administrator</cp:lastModifiedBy>
  <dcterms:modified xsi:type="dcterms:W3CDTF">2018-04-11T09:32:10Z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